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1" w:rsidRPr="004A35B8" w:rsidRDefault="00EA3884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D22F1" w:rsidRPr="004A35B8" w:rsidRDefault="00EA3884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D22F1" w:rsidRPr="004A35B8" w:rsidRDefault="00EA3884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BD22F1" w:rsidRPr="004A35B8" w:rsidRDefault="00EA3884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BD22F1" w:rsidRPr="004A35B8" w:rsidRDefault="00924CD7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="00EA3884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06-2/234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ru-RU"/>
        </w:rPr>
        <w:t>-13</w:t>
      </w:r>
    </w:p>
    <w:p w:rsidR="00BD22F1" w:rsidRPr="003A4A7C" w:rsidRDefault="003A4A7C" w:rsidP="003A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BD22F1" w:rsidRPr="003A4A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D22F1" w:rsidRPr="004A35B8" w:rsidRDefault="00EA3884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D22F1" w:rsidRPr="004A35B8" w:rsidRDefault="00BD22F1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2F1" w:rsidRPr="004A35B8" w:rsidRDefault="00BD22F1" w:rsidP="004A35B8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2F1" w:rsidRPr="004A35B8" w:rsidRDefault="00BD22F1" w:rsidP="004A35B8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2F1" w:rsidRPr="004A35B8" w:rsidRDefault="00EA3884" w:rsidP="004A3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D22F1" w:rsidRPr="004A35B8" w:rsidRDefault="00B2585C" w:rsidP="004A3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ru-RU"/>
        </w:rPr>
        <w:t>JUNA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2013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D22F1" w:rsidRPr="004A35B8" w:rsidRDefault="00BD22F1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12C7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45555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Berić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54555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4555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54555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54555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7535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47535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47535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47535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7D172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7D172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="006C2B0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6C2B0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2B0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6C2B0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 w:rsidR="006C2B0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130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20130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Nenada</w:t>
      </w:r>
      <w:r w:rsidR="0020130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Radojko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Kenan</w:t>
      </w:r>
      <w:r w:rsidR="001B018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Hajdarević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E16E8" w:rsidRPr="004A35B8" w:rsidRDefault="00EA3884" w:rsidP="004A35B8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98562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Šubaranović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3F61CE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544B0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544B0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244C2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4C2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244C2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244C2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Maćić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Makar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1E16E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8669B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EA3884" w:rsidP="004A35B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1857/13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90AE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56710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6710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6710A" w:rsidRPr="004A35B8" w:rsidRDefault="0056710A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710A" w:rsidRPr="004A35B8" w:rsidRDefault="0056710A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02-1800/13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234B5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="00C54167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C54167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B6498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B6498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498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E6BE0" w:rsidRPr="004A35B8" w:rsidRDefault="00EA3884" w:rsidP="004A35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80322C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Informacije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prirodnih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resursa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rudarstva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prostornog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planiranja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februar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april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</w:p>
    <w:p w:rsidR="00BD22F1" w:rsidRPr="004A35B8" w:rsidRDefault="00815773" w:rsidP="004A35B8">
      <w:pPr>
        <w:tabs>
          <w:tab w:val="left" w:pos="1418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D45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EE6D0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</w:t>
      </w:r>
      <w:r w:rsidR="00EE6D0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informiše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spremnost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2153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64BC0" w:rsidRPr="004A35B8" w:rsidRDefault="00815773" w:rsidP="004A35B8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C5A16" w:rsidRPr="004A35B8" w:rsidRDefault="008C5A16" w:rsidP="004A35B8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5A16" w:rsidRPr="004A35B8" w:rsidRDefault="00EA3884" w:rsidP="004A35B8">
      <w:pPr>
        <w:pStyle w:val="ListParagraph"/>
        <w:widowControl w:val="0"/>
        <w:numPr>
          <w:ilvl w:val="0"/>
          <w:numId w:val="5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biomase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iskorišćavanja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biomasa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napravilo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supstituciju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C5A16" w:rsidRPr="004A35B8" w:rsidRDefault="00EA3884" w:rsidP="004A35B8">
      <w:pPr>
        <w:pStyle w:val="ListParagraph"/>
        <w:widowControl w:val="0"/>
        <w:numPr>
          <w:ilvl w:val="0"/>
          <w:numId w:val="5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vlasnici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vlasničke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sigurnost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zidaju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svojini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trećeg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C5A16" w:rsidRPr="004A35B8" w:rsidRDefault="00EA3884" w:rsidP="004A35B8">
      <w:pPr>
        <w:pStyle w:val="ListParagraph"/>
        <w:widowControl w:val="0"/>
        <w:numPr>
          <w:ilvl w:val="0"/>
          <w:numId w:val="5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istraživanjem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nikla</w:t>
      </w:r>
      <w:r w:rsidR="008C5A16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728A" w:rsidRPr="004A35B8" w:rsidRDefault="00F4728A" w:rsidP="004A35B8">
      <w:pPr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Vlada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prethodnom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mandatu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donela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Akcioni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plan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korišćenje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biomase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Izvršene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procene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potencijalnim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rezervama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raspoloživim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količinama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Izvori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biomase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drvenastog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porekla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poljoprivrednog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porekla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50%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50 %,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različitim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procenama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tehnički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iskoristiv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godišnji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potencijal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2,7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3,4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miliona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ekvivalentne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nafte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značajan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obnovljiv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resurs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Ministarstvo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nadležno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poslove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prošlom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mandatu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zaokružilo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kompletnu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regulativu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vezano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obnovljive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izvore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Procenjeno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ukupan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resurs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biomase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obnovljivim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izvorima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63%. </w:t>
      </w:r>
    </w:p>
    <w:p w:rsidR="00F4728A" w:rsidRPr="004A35B8" w:rsidRDefault="00EA3884" w:rsidP="004A35B8">
      <w:pPr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Istaknuto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mnogo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gubi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ukoliko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resurs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stavi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Podsticajne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mere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značajne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investitorima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isplati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ulaganje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taj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sektor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relativno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prihvatljiva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>jer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niža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solarne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Biomasa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trune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šumama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njivama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bude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upotrebljena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najbolji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mogući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način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Prepreke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nedovoljno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znanje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korišćenje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ovog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resursa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iako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koristili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još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staroj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Kini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ru-RU"/>
        </w:rPr>
        <w:t>nepostojanje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kritične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mase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kapitala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odsustvo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pravnog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okvira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podsticajnih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mera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ulaganje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taj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sektor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ovom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trenutku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nema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ograničenja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smislu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dobijanja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energetskih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npr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solarnu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energiju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gde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ograničen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kapacitet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šest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megavata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instalisane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snage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Proizvodnja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peleta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samo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desetak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procenata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realnog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kapaciteta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proizvede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proda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evropskom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tržištu</w:t>
      </w:r>
      <w:r w:rsidR="00F4728A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68B2" w:rsidRPr="004A35B8" w:rsidRDefault="00815773" w:rsidP="004A35B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F4728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D12A6A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D12A6A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12A6A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A6A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D12A6A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7372BA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372BA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učestvovalo</w:t>
      </w:r>
      <w:r w:rsidR="007372BA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7372BA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procenama</w:t>
      </w:r>
      <w:r w:rsidR="007372BA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resursa</w:t>
      </w:r>
      <w:r w:rsidR="007372BA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biomase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Republici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Srbiji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to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pitanje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nadležnosti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Ministarstva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energetike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razvoja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zaštite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životne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sredine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Narodna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skupština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martu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ove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godine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usvojila</w:t>
      </w:r>
      <w:r w:rsidR="00CA6BA8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izgrađenim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CA6BA8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9E294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9E2942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9E2942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9E2942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9E2942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2942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9E2942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9E2942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2942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inistarstvo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građevinarstva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urbanizma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obrazovali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zajedničku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komisiju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koja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razmatra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mogućnosti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ubrzavanje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realizacije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planova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izgradnju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toku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izrada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novog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Zakona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planiranju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izgradnji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Procena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nacionalnim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parkovima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Srbije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obalama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akumulacionih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jezera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parkovima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prirode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zaštićenim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područjima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bespravno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izgrađeno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oko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šest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hiljada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objekata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Komisije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koje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razmatraju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prispelu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plansku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dokumentaciju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zastale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su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sa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radom</w:t>
      </w:r>
      <w:r w:rsidR="009E2942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što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usporilo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razvoj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izgradnju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52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opštine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Republici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Srbiji</w:t>
      </w:r>
      <w:r w:rsidR="001C79C9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Ministarstvu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su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ukinuti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sopstveni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prihodi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kojih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su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finansirale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izrade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prostornih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planova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javne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rasprave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javni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uvid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nadzor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stručna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mišljenja</w:t>
      </w:r>
      <w:r w:rsidR="000E524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526F5F" w:rsidRPr="004A35B8" w:rsidRDefault="001C79C9" w:rsidP="004A35B8">
      <w:pPr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Izneo</w:t>
      </w:r>
      <w:r w:rsidR="006B2EA5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6B2EA5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mišljenje</w:t>
      </w:r>
      <w:r w:rsidR="006B2EA5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6B2EA5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istraživanja</w:t>
      </w:r>
      <w:r w:rsidR="006B2EA5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ležišta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nikla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treba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nastaviti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jer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to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prirodno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bogatstvo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čija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eksploatacija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predstavlja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razvojnu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šansu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Srbije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Kompaniji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koja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nosilac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istražnih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prava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nikl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istražna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prava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dala</w:t>
      </w:r>
      <w:r w:rsidR="008B23B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prethodna</w:t>
      </w:r>
      <w:r w:rsidR="008B23B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Vlada</w:t>
      </w:r>
      <w:r w:rsidR="008B23B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8B23B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skladu</w:t>
      </w:r>
      <w:r w:rsidR="008B23B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sa</w:t>
      </w:r>
      <w:r w:rsidR="008B23B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važećim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zakonima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osnovu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projektne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dokumentacije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potvrda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plaćenim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taksama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naknadama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otkupljenom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ili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zakupljenom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zemljištu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Međutim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kada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počelo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istraživanje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terenu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organizovana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medijska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hajka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protiv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kompanije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istraživanje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protivpravno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zaustavljeno</w:t>
      </w:r>
      <w:r w:rsidR="00BB2373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Ministar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istakao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uložen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veliki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napor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navedenom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kompanijom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postigne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dogovor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oko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nastavka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istraživanja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kako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bi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podnela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tužbu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protiv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države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zatražila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višemilionsku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odštetu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Naglasio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reč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geološkom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istraživanju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lateritne</w:t>
      </w:r>
      <w:r w:rsidR="00526F5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rude</w:t>
      </w:r>
      <w:r w:rsidR="00526F5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koje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izvodi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ekološki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potpuno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čistim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bezbednim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tehnološkim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postupcima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bezopasnim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zdravlje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građana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komapanija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koja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nosilac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istražnih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prava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vrstu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tehnologija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koristi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više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država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svetu</w:t>
      </w:r>
      <w:r w:rsidR="003E3D6E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Objasnio</w:t>
      </w:r>
      <w:r w:rsidR="00526F5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526F5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="00526F5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</w:t>
      </w:r>
      <w:r w:rsidR="00526F5F"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tehnološki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postupak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potpuno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isti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postupak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istraživanja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nalazišta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vode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zemljine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unutrašnjosti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izvlači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jezgro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šalje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laboratoriju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utvrđuje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koliko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nikla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vrsta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rude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nikla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sulfidne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rude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nikl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proizvodi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prljavom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tehnologijom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zagađuje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životnu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sredinu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lateritne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rude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nikl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proizvodi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potpuno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zatvorenom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tehnološkog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procesu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prilikom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koga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ističe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sumporna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kiselina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zemljište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niti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oslobađa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sumpor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dioksid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drugi</w:t>
      </w:r>
      <w:r w:rsidR="005A42A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gasovi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atmosferu</w:t>
      </w:r>
      <w:r w:rsidR="00526F5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42AF" w:rsidRPr="004A35B8" w:rsidRDefault="005A42AF" w:rsidP="004A35B8">
      <w:pPr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D22F1" w:rsidRPr="004A35B8" w:rsidRDefault="005A42AF" w:rsidP="004A35B8">
      <w:pP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Škundrić</w:t>
      </w:r>
      <w:r w:rsidR="00D12A6A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F4728A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F4728A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</w:t>
      </w:r>
      <w:r w:rsidR="00264BC0" w:rsidRPr="004A35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BE0" w:rsidRPr="004A35B8" w:rsidRDefault="00EA3884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E6BE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Agencije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energetiku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E6BE0" w:rsidRPr="004A35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815773" w:rsidRPr="004A35B8" w:rsidRDefault="00B175E6" w:rsidP="0054350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5773" w:rsidRPr="004A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815773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dostavio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odlučivanje</w:t>
      </w:r>
      <w:r w:rsidR="00815773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35DC" w:rsidRPr="004A35B8" w:rsidRDefault="00B87E88" w:rsidP="00543504">
      <w:pPr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FB35DC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Ljubo</w:t>
      </w:r>
      <w:r w:rsidR="004F4FC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Maćić</w:t>
      </w:r>
      <w:r w:rsidR="004F4FC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F4FC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4F4FC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4F4FC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4FC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4F4FC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FB35DC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35DC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35DC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B35DC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smislu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snabdevanje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prirodnim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naftnim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derivatima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bilo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pouzdano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izuzev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februaru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normativnom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smislu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realizovane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obaveze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uspostavljene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završen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najveći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podzakonske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regulative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omogućeno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funkcioniše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punom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kapacitetu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izvršila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obaveze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krajem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omogućeno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januara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počne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funkcioniše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tržište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6B2EA5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odredbama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Kupci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birati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snabdevača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neregulisanim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cenama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35DC" w:rsidRPr="004A35B8" w:rsidRDefault="00B87E88" w:rsidP="004A35B8">
      <w:pPr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cilju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dugoročne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sigurnosti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snabdevanja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energentima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završiti</w:t>
      </w:r>
      <w:r w:rsidR="00645BF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strukturne</w:t>
      </w:r>
      <w:r w:rsidR="00645BF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promene</w:t>
      </w:r>
      <w:r w:rsidR="00645BF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645BF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Srbijagasu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omogućiti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sprovede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faza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otvaranja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januara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pet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hiljada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kupaca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priključeni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distributivnu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mora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izaći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početi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neregulisanim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cenama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imaju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prostora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racionalizuju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troškove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prilikom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odobravanja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voditi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računa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njihovi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neraconalni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troškovi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kupce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5BF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Izrada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Strategije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razvoja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završnoj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fazi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Strategija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treba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ostalog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omogući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politika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razreši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određenim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rokovima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način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obezbediti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izvesniju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budućnost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lastRenderedPageBreak/>
        <w:t>preduzeća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investitore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energetskom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sektoru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kupce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830363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dokumenta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biće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izabrani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projekti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najpovoljniji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realizaciju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uticati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promene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budućnosti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obezbediti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dugoročnu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stabilnost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sigurnost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snabdevanja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5BFF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Ugovoru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Energetskoj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zajednici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obavezala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implementira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tzv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paket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vezan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zbog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jesen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dostavljen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izmenama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dopunama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nekoliko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ključnih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elemenata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Trećeg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energetskog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paketa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proširenje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jačanje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nadležnosti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Implementacijom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Trećeg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energetskog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paketa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izmenama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6D649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integrisati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regionalno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evropsko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tržište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Električnom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energijom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trgovati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jedinstvenom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tržištu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cele</w:t>
      </w:r>
      <w:r w:rsidR="003425E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Evrope</w:t>
      </w:r>
      <w:r w:rsidR="00FB35D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C4ED8" w:rsidRPr="004A35B8" w:rsidRDefault="00FB35DC" w:rsidP="004A35B8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C4ED8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B35DC" w:rsidRPr="004A35B8" w:rsidRDefault="00EA3884" w:rsidP="004A35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svrhe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najavljenog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povećanja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električne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42E2" w:rsidRPr="004A35B8" w:rsidRDefault="00EA3884" w:rsidP="004A35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="00930FED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cene</w:t>
      </w:r>
      <w:r w:rsidR="00930FED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električne</w:t>
      </w:r>
      <w:r w:rsidR="00930FED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prelivaju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potrošače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troškovi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neracionalnog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FC42E2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EPS</w:t>
      </w:r>
      <w:r w:rsidR="0004376D" w:rsidRPr="004A35B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42E2" w:rsidRPr="004A35B8" w:rsidRDefault="00EA3884" w:rsidP="004A35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koliko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iznosi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prosečna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koštanja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kolika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prodajna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zemlje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okruženju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razvijene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zemlje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0FED" w:rsidRPr="004A35B8" w:rsidRDefault="00EA3884" w:rsidP="004A35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naplaćuje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porez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dodatu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vrednost</w:t>
      </w:r>
      <w:r w:rsidR="004C5F2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C5F2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gubitak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ako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naplaćuje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zašto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0FED" w:rsidRPr="004A35B8" w:rsidRDefault="00EA3884" w:rsidP="004A35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prati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zaposlenih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jer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opštem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saznanju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on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veliki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stvara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veliki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trošak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utiče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cenu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0FED" w:rsidRDefault="00EA3884" w:rsidP="004A35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koliko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kupaca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kupuje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struju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samo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EMS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prodaje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struju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preduzećima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30FE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domaćinstvima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licenci</w:t>
      </w:r>
      <w:r w:rsidR="004C5F2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C5F2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trgovinu</w:t>
      </w:r>
      <w:r w:rsidR="004C5F2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električnom</w:t>
      </w:r>
      <w:r w:rsidR="004C5F2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energijom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11E3" w:rsidRPr="004A35B8" w:rsidRDefault="00EA3884" w:rsidP="004A35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dostavi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informaciju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sadržala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instrukcije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primene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Trećeg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energetskog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paketa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posebno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aspekta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izgradnje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deonice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gasovoda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Južni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tok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kroz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Srbiju</w:t>
      </w:r>
      <w:r w:rsidR="000711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23B5" w:rsidRDefault="00F070CB" w:rsidP="0054350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11B1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DE11B1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11B1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ocenjeno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93E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izuzetno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visokom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nivou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prezentuje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stanje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sektoru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posluži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instrukcija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svima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bave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pitanjima</w:t>
      </w:r>
      <w:r w:rsidR="00593E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ekonomije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rezultat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visoko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stručnih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ljudi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Ukazano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narednom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periodu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posebnu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pažnju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posvetiti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prilikom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primene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Trećeg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paketa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projekat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izgradnje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deonice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gasovoda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Južni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tok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kroz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bude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prepreka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integraciji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uniju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. "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Gasprom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nosilac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projekta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investitor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Republika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naknadno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refundirati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sredstva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taksi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naplaćivane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Ruska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Federacija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pokrenula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inicijativu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energetskog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izuzme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primene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Trećeg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paketa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skrenuta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pažnja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tome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voditi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računa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prilikom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="00FC42E2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23B5" w:rsidRDefault="00543504" w:rsidP="0054350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Izneto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porez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dodatu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vrednost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133F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obračunava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gubitke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Svetska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banka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ukazuje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javni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privatni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sektor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jednakoj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poziciji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pitanju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naplata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poreza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jer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privatni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sektor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plaća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poreze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gubitke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javni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sektor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133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plaća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enormni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prenosnoj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mreži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budžet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ostaje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uskraćen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prihod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prometa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393C" w:rsidRDefault="00543504" w:rsidP="0036393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Ukazano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često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iznose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proizvoljne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ocene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efikasnosti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neefikasnosti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elektroenergetskog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činjenica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najveći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investitor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2008, 2009, 2010.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2011.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prosekom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oko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500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miliona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godišnjem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nivou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godišnjem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Izveštaju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data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struktura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lastRenderedPageBreak/>
        <w:t>vidi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koštanja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najniža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elektroprivrede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tehničko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tehnološkim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merama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možemo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smanjimo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krađe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oko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60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miliona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Jedini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pravi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način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jeste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pooštravanje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zakonske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regulative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Krivičnog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zakonika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Takođe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uplatio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doprinose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one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delove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država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otpisala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procesu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restrukturiranja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privatizacije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znači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dobio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novac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budžeta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morao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plati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doprinose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naplatio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potraživanje</w:t>
      </w:r>
      <w:r w:rsidR="003639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502" w:rsidRDefault="00114502" w:rsidP="00FB3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pitanju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zaostalih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potraživanja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izneto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Vlada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donela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odluku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Srbijagas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počne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isključivanjem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dužnicima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Međutim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firme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zavisne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zaustave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može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pokrene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Naveden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primer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hladnjača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klanici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Banat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Banatskog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Karlovca</w:t>
      </w:r>
      <w:r>
        <w:rPr>
          <w:rFonts w:ascii="Times New Roman" w:hAnsi="Times New Roman" w:cs="Times New Roman"/>
          <w:sz w:val="24"/>
          <w:szCs w:val="24"/>
          <w:lang w:val="ru-RU"/>
        </w:rPr>
        <w:t>. "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Banat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zapošljava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250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radnika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duguje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miliona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dinara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ponovno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pokretanje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obustave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isporuke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košta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miliona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Firma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sistemu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reprograma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otplate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kredit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može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dobije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bankarsku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garanciju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traži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Srbijagas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praviti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izuzetke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takvim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slučajevima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sačuvala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mesta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3238" w:rsidRDefault="00FB3238" w:rsidP="00FB3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Izneto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delegacija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februaru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prisustvovala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seminaru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parlamentu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odnosio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razvoja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zemljama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Zapadnog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Balkana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Prihvaćena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inicijativa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umreže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zemalja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Zapadnog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Balkana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zajednica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uputila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poziv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Beču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obrazuje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parlamentarna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pitanjima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Projekat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Južni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tok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uglavnom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prihvatljiv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zajednicom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parlamentarne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bave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pitanjima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šansa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bude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lider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predsedava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ovom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jednoj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narednih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160DD" w:rsidRPr="004A35B8" w:rsidRDefault="00133FF7" w:rsidP="0054350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Povodom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diskusije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predstavnici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istakli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međudržavni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Sporazum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Ruskom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Federacijom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potpisan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2008.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snazi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bio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donet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2004.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tom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bilo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regulisano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način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izuzeće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pristupa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strane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postavlja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bitno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pitanje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one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zemlje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članice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žele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postanu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članice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EU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Zakonom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="00DE11B1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usvojenom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2011.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uvedena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procedura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kako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izuzeće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postići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mišljenje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donosi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Vlada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Gasovod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prolazi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kroz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zemalja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članica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EU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samim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tim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mora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naći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rešenje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4376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status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projekta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tim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zemljama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23BD" w:rsidRDefault="0004376D" w:rsidP="005435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D061D9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domaćinstva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industriju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najniža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Zakonu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neće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pod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kontrolom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formiraće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moglo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znači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sistem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pokazatelju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efikasniji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svih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ostalih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1160D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prostora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poboljšanje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Dve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trećine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proizvodnje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potiče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termoelektrana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trećina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hidroelektrana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korišćenja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termoelektrana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2000.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znatno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povećan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danas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nivou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evropskih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zemalja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korišćenja</w:t>
      </w:r>
      <w:r w:rsidR="009D56CC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najveći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strane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distribucija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stepenu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gubitaka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distributivnoj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mreži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donjoj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trećini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četvrtini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liste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tu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postoji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veliki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prostor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poboljšanje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Veliki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tih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gubitaka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potiče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krađe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manji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opravdan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="003201D7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potroši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niskom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naponu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domaćinstva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troše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zemlje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industrija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niskim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intenzitetom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Zbog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gubici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moraju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evropskog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proseka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direktno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odgovorna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FC0AC4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kontroliše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tražila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pet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distributivnih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dostave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plan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smanjivanja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prenosnoj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Dostavljen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plan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opadanje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naredne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četiri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distributivna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8B2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dela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napona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110 </w:t>
      </w:r>
      <w:r w:rsidR="004D23BD">
        <w:rPr>
          <w:rFonts w:ascii="Times New Roman" w:hAnsi="Times New Roman" w:cs="Times New Roman"/>
          <w:sz w:val="24"/>
          <w:szCs w:val="24"/>
        </w:rPr>
        <w:t>kV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distributivna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niskog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napona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ispod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0,4 </w:t>
      </w:r>
      <w:r w:rsidR="004D23BD">
        <w:rPr>
          <w:rFonts w:ascii="Times New Roman" w:hAnsi="Times New Roman" w:cs="Times New Roman"/>
          <w:sz w:val="24"/>
          <w:szCs w:val="24"/>
        </w:rPr>
        <w:t>kV</w:t>
      </w:r>
      <w:r w:rsidR="004D2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dolazi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domaćinstava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prenosnoj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lastRenderedPageBreak/>
        <w:t>visokog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napona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gubici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nivou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2,6%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nivou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evropskog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proseka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distributivnoj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niskog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napona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procenama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ukupan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15%.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usled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krađe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iznosi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6%,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krađa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rezultat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netačnih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merenja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mehaničkih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brojila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lošeg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kvaliteta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čiji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brojčanici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sporije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okreću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sofisticiranih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krađa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lakše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rešavale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bolja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saradnja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policije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tužilaštva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sudstva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Pokazalo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mnogi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neovlašćeno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koriste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nemaju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sankcije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oslobođeni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uslovno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osuđivani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mora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imati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nešto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gubitke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zbog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visok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potrošnje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niskom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naponu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transformacija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niskog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napona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0,4 </w:t>
      </w:r>
      <w:r w:rsidR="004D23BD">
        <w:rPr>
          <w:rFonts w:ascii="Times New Roman" w:hAnsi="Times New Roman" w:cs="Times New Roman"/>
          <w:sz w:val="24"/>
          <w:szCs w:val="24"/>
        </w:rPr>
        <w:t>kV</w:t>
      </w:r>
      <w:r w:rsidR="004D2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prolazi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kroz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kroz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transformatore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spojna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polja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sabirnice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neminovno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postoji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izvestan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gubitaka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prosek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reč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ukupnim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gubicima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distribucije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oko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6,5 %,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manje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trećine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troši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domaćinstvima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preko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50%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potroši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domaćinstvima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samim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tim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gubici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niskonaponskoj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moraju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veći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35B8" w:rsidRDefault="004D23BD" w:rsidP="005435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priznaje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najviše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2%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nenaplativih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potraživanja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ispod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2%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prenosi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kupce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nego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umanjuje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rezultat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poslovanja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profit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firme</w:t>
      </w:r>
      <w:r w:rsidR="004A3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5B8" w:rsidRPr="004A35B8" w:rsidRDefault="004A35B8" w:rsidP="0054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oko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30.000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zaposlenih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4.500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teritorije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AP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Kosova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51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Metohije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takođe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platnom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spisku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približno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stabilan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proteklih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nekoliko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onog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upoređuje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radnika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preduzećima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praviti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razliku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preduzeće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uglja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vode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Ukoliko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vode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vrlo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mali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radnika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ako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proizvodi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uglja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ako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sastavu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rudnik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onda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potrebnih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radnika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mnogo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2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Pored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elektroprivreda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ustupa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svoje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poslove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preduzećima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ugovoru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time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smanjuje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radnika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Zbog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prilikom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utvrđivanja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stepena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efikasnosti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poslovanja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upoređuju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ukupni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troškovi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radnika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5B8" w:rsidRPr="004A35B8" w:rsidRDefault="004D23BD" w:rsidP="0054350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Licencu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trgovinu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tržištu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60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firmi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kupci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nemaju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interesa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traže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drugog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snabdevača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jer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651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651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="00651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="00651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koju</w:t>
      </w:r>
      <w:r w:rsidR="00651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</w:t>
      </w:r>
      <w:r w:rsidR="00651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nudi</w:t>
      </w:r>
      <w:r w:rsidR="00651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trenutno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niža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drugih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ponuđača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A07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</w:t>
      </w:r>
      <w:r w:rsidR="00A072AA">
        <w:rPr>
          <w:rFonts w:ascii="Times New Roman" w:hAnsi="Times New Roman" w:cs="Times New Roman"/>
          <w:sz w:val="24"/>
          <w:szCs w:val="24"/>
          <w:lang w:val="ru-RU"/>
        </w:rPr>
        <w:t xml:space="preserve"> 3.100.000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kupaca</w:t>
      </w:r>
      <w:r w:rsidR="00A072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Meser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Tehnogas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januara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jedini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kupac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našao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drugog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snabdevača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Genis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kompanija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Slovenije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pet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hiljada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kupaca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biće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obavezi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januara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izabere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snabdevača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kupuje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neće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regulisana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Regulisana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samo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cena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korišćenja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mogućnost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obezbeđena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ovom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trenutku</w:t>
      </w:r>
      <w:r w:rsidR="004A35B8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35B8" w:rsidRDefault="004A35B8" w:rsidP="000711E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Postoje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tehnička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pravila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pristup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sistemu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regulisane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tehničke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međusobne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obaveze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mreža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sistem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operatora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korisnika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dve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saglasnost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pravila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postoje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tržišna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pravila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regulisani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komercijalni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aspekti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nadležnosti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pravila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promeni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snabdevača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doneta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septembru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prošle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kojima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omogućeno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svakom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jednostavan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način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bez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ikakvog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troška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21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dan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promeni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snabdevača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Domaćinstva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imati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mogućnost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pojedinačne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kupovine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električne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januara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Evropski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prosek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ispod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15%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ukupnog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kupaca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promenili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snabdevača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tim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nešto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kupaca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Engleskoj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Irskoj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711E3" w:rsidRPr="004A35B8" w:rsidRDefault="000711E3" w:rsidP="000711E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dostaviti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informaciju</w:t>
      </w:r>
      <w:r w:rsidRPr="00071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sadržati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instrukcije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povodom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primene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Trećeg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energetskog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paketa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posebno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aspekta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izgradnje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deonice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gasovoda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Južni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tok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kroz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5B8" w:rsidRPr="004A35B8" w:rsidRDefault="004D23BD" w:rsidP="000711E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753D" w:rsidRPr="004A35B8" w:rsidRDefault="004A35B8" w:rsidP="004D2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0E11D0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114502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114502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Risić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Ljubo</w:t>
      </w:r>
      <w:r w:rsidR="00114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Maćić</w:t>
      </w:r>
      <w:r w:rsidR="00114502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4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114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94753D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4753D" w:rsidRPr="004A35B8" w:rsidRDefault="000E11D0" w:rsidP="004A35B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6D2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6D2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dostavio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odlučivanje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4753D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</w:p>
    <w:p w:rsidR="0094753D" w:rsidRPr="004A35B8" w:rsidRDefault="0094753D" w:rsidP="004A35B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9/10 )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94753D" w:rsidRPr="004A35B8" w:rsidRDefault="0094753D" w:rsidP="004A35B8">
      <w:pPr>
        <w:tabs>
          <w:tab w:val="left" w:pos="14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_____2013.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4753D" w:rsidRPr="004A35B8" w:rsidRDefault="0094753D" w:rsidP="004A35B8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Lj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4753D" w:rsidRPr="004A35B8" w:rsidRDefault="00EA3884" w:rsidP="004A35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Izveštaju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94753D" w:rsidRPr="004A35B8" w:rsidRDefault="00EA3884" w:rsidP="004A35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94753D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4753D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753D" w:rsidRPr="004A35B8" w:rsidRDefault="00EA3884" w:rsidP="004A35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94753D" w:rsidRPr="004A35B8" w:rsidRDefault="00EA3884" w:rsidP="004A35B8">
      <w:pPr>
        <w:tabs>
          <w:tab w:val="left" w:pos="51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94753D" w:rsidRPr="004A35B8" w:rsidRDefault="00EA3884" w:rsidP="004A35B8">
      <w:pPr>
        <w:tabs>
          <w:tab w:val="left" w:pos="51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____ 2013.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94753D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753D" w:rsidRPr="004A35B8" w:rsidRDefault="0094753D" w:rsidP="004A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SKUPŠTINA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SRBIJE</w:t>
      </w:r>
    </w:p>
    <w:p w:rsidR="0094753D" w:rsidRPr="004A35B8" w:rsidRDefault="0094753D" w:rsidP="004A35B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753D" w:rsidRPr="004A35B8" w:rsidRDefault="0094753D" w:rsidP="004A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Stefanović</w:t>
      </w:r>
    </w:p>
    <w:p w:rsidR="0094753D" w:rsidRPr="004A35B8" w:rsidRDefault="0094753D" w:rsidP="004A3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11D0" w:rsidRPr="004A35B8" w:rsidRDefault="00EA3884" w:rsidP="004A35B8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</w:p>
    <w:p w:rsidR="000E11D0" w:rsidRPr="004A35B8" w:rsidRDefault="000E11D0" w:rsidP="004A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sadržan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9/10)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23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11D0" w:rsidRPr="004A35B8" w:rsidRDefault="00EA3884" w:rsidP="004A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1D0" w:rsidRPr="004A35B8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>12-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0E11D0" w:rsidRPr="004A35B8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0E11D0" w:rsidRPr="004A35B8" w:rsidRDefault="000E11D0" w:rsidP="004A35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239. 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nadležnom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Stavom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zaključenju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preporuku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11D0" w:rsidRPr="004A35B8" w:rsidRDefault="000E11D0" w:rsidP="004A35B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37.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57/11, 80/11 –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ispravka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93/12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124/12)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Savet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podnosi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Narodnoj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skupštini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najmanje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jednom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godišnje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radu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Agencije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Godišnji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prethodnu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kalendarsku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godinu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podnosi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se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</w:rPr>
        <w:t>najkasnije</w:t>
      </w:r>
      <w:r w:rsidRPr="004A35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</w:rPr>
        <w:t>do</w:t>
      </w:r>
      <w:r w:rsidRPr="004A35B8">
        <w:rPr>
          <w:rFonts w:ascii="Times New Roman" w:hAnsi="Times New Roman" w:cs="Times New Roman"/>
          <w:spacing w:val="-4"/>
          <w:sz w:val="24"/>
          <w:szCs w:val="24"/>
        </w:rPr>
        <w:t xml:space="preserve"> 30. </w:t>
      </w:r>
      <w:r w:rsidR="00EA3884">
        <w:rPr>
          <w:rFonts w:ascii="Times New Roman" w:hAnsi="Times New Roman" w:cs="Times New Roman"/>
          <w:spacing w:val="-4"/>
          <w:sz w:val="24"/>
          <w:szCs w:val="24"/>
        </w:rPr>
        <w:t>aprila</w:t>
      </w:r>
      <w:r w:rsidRPr="004A35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</w:rPr>
        <w:t>svake</w:t>
      </w:r>
      <w:r w:rsidRPr="004A35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3884">
        <w:rPr>
          <w:rFonts w:ascii="Times New Roman" w:hAnsi="Times New Roman" w:cs="Times New Roman"/>
          <w:spacing w:val="-4"/>
          <w:sz w:val="24"/>
          <w:szCs w:val="24"/>
        </w:rPr>
        <w:t>godine</w:t>
      </w:r>
      <w:r w:rsidRPr="004A35B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E11D0" w:rsidRPr="004A35B8" w:rsidRDefault="000E11D0" w:rsidP="004A35B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pacing w:val="-4"/>
          <w:sz w:val="24"/>
          <w:szCs w:val="24"/>
          <w:lang w:val="ru-RU"/>
        </w:rPr>
        <w:t>Savet</w:t>
      </w:r>
      <w:r w:rsidRPr="004A35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redovan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godišnji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zveštaj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aglasno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237.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istoj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zaključka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izveštajem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11D0" w:rsidRPr="004A35B8" w:rsidRDefault="000E11D0" w:rsidP="004A35B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 w:rsidR="00EA3884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E11D0" w:rsidRPr="004A35B8" w:rsidRDefault="000E11D0" w:rsidP="004A35B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9/10),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objavljuje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akte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>“.“</w:t>
      </w:r>
    </w:p>
    <w:p w:rsidR="000E6BE0" w:rsidRPr="004A35B8" w:rsidRDefault="000E6BE0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70955" w:rsidRPr="004A35B8" w:rsidRDefault="00E70955" w:rsidP="004A35B8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51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51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651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88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A35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6BE0" w:rsidRPr="004A35B8" w:rsidRDefault="000E6BE0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D22F1" w:rsidRPr="004A35B8" w:rsidRDefault="00A02CDF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13,50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BD22F1" w:rsidP="004A35B8">
      <w:pPr>
        <w:tabs>
          <w:tab w:val="left" w:pos="144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388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BD22F1" w:rsidRPr="004A35B8" w:rsidRDefault="00BD22F1" w:rsidP="004A35B8">
      <w:pPr>
        <w:tabs>
          <w:tab w:val="left" w:pos="144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2F1" w:rsidRPr="004A35B8" w:rsidRDefault="00EA3884" w:rsidP="004A35B8">
      <w:pPr>
        <w:tabs>
          <w:tab w:val="left" w:pos="144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D22F1" w:rsidRPr="004A3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p w:rsidR="00BD22F1" w:rsidRPr="004A35B8" w:rsidRDefault="00BD22F1" w:rsidP="004A35B8">
      <w:pPr>
        <w:tabs>
          <w:tab w:val="left" w:pos="144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8C1" w:rsidRPr="004A35B8" w:rsidRDefault="00C438C1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8C1" w:rsidRPr="004A35B8" w:rsidSect="00B45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40" w:rsidRDefault="00183840">
      <w:pPr>
        <w:spacing w:after="0" w:line="240" w:lineRule="auto"/>
      </w:pPr>
      <w:r>
        <w:separator/>
      </w:r>
    </w:p>
  </w:endnote>
  <w:endnote w:type="continuationSeparator" w:id="0">
    <w:p w:rsidR="00183840" w:rsidRDefault="0018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C" w:rsidRDefault="00183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C" w:rsidRDefault="00183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C" w:rsidRDefault="00183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40" w:rsidRDefault="00183840">
      <w:pPr>
        <w:spacing w:after="0" w:line="240" w:lineRule="auto"/>
      </w:pPr>
      <w:r>
        <w:separator/>
      </w:r>
    </w:p>
  </w:footnote>
  <w:footnote w:type="continuationSeparator" w:id="0">
    <w:p w:rsidR="00183840" w:rsidRDefault="0018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C" w:rsidRDefault="00BD22F1" w:rsidP="00D83A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C1C" w:rsidRDefault="00183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C" w:rsidRDefault="00BD22F1" w:rsidP="00D83A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84">
      <w:rPr>
        <w:rStyle w:val="PageNumber"/>
        <w:noProof/>
      </w:rPr>
      <w:t>7</w:t>
    </w:r>
    <w:r>
      <w:rPr>
        <w:rStyle w:val="PageNumber"/>
      </w:rPr>
      <w:fldChar w:fldCharType="end"/>
    </w:r>
  </w:p>
  <w:p w:rsidR="00B45C1C" w:rsidRDefault="00183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C" w:rsidRDefault="00183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368"/>
    <w:multiLevelType w:val="hybridMultilevel"/>
    <w:tmpl w:val="43B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4B4"/>
    <w:multiLevelType w:val="hybridMultilevel"/>
    <w:tmpl w:val="BBB2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D2589"/>
    <w:multiLevelType w:val="hybridMultilevel"/>
    <w:tmpl w:val="FF08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D7B"/>
    <w:multiLevelType w:val="hybridMultilevel"/>
    <w:tmpl w:val="4A0C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6A84"/>
    <w:multiLevelType w:val="hybridMultilevel"/>
    <w:tmpl w:val="2F9E492C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31C10"/>
    <w:multiLevelType w:val="hybridMultilevel"/>
    <w:tmpl w:val="866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02A2"/>
    <w:multiLevelType w:val="hybridMultilevel"/>
    <w:tmpl w:val="48E007BE"/>
    <w:lvl w:ilvl="0" w:tplc="BCA6D3B0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60A34"/>
    <w:multiLevelType w:val="hybridMultilevel"/>
    <w:tmpl w:val="24B47EA2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800A8"/>
    <w:multiLevelType w:val="hybridMultilevel"/>
    <w:tmpl w:val="9C90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0478"/>
    <w:multiLevelType w:val="hybridMultilevel"/>
    <w:tmpl w:val="6696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F1"/>
    <w:rsid w:val="0004376D"/>
    <w:rsid w:val="000711E3"/>
    <w:rsid w:val="00077C3F"/>
    <w:rsid w:val="000A6577"/>
    <w:rsid w:val="000A68F5"/>
    <w:rsid w:val="000E11D0"/>
    <w:rsid w:val="000E524F"/>
    <w:rsid w:val="000E6BE0"/>
    <w:rsid w:val="00114502"/>
    <w:rsid w:val="001160DD"/>
    <w:rsid w:val="00133FF7"/>
    <w:rsid w:val="00151FA7"/>
    <w:rsid w:val="00183840"/>
    <w:rsid w:val="001B0181"/>
    <w:rsid w:val="001C79C9"/>
    <w:rsid w:val="001E16E8"/>
    <w:rsid w:val="0020130D"/>
    <w:rsid w:val="00232DE6"/>
    <w:rsid w:val="002445B0"/>
    <w:rsid w:val="00244C23"/>
    <w:rsid w:val="00264BC0"/>
    <w:rsid w:val="003201D7"/>
    <w:rsid w:val="003425E4"/>
    <w:rsid w:val="0036393C"/>
    <w:rsid w:val="00366BA7"/>
    <w:rsid w:val="003A3B84"/>
    <w:rsid w:val="003A4A7C"/>
    <w:rsid w:val="003E3D6E"/>
    <w:rsid w:val="003E71BF"/>
    <w:rsid w:val="003F61CE"/>
    <w:rsid w:val="00461651"/>
    <w:rsid w:val="0047535A"/>
    <w:rsid w:val="004A35B8"/>
    <w:rsid w:val="004C5F22"/>
    <w:rsid w:val="004D23BD"/>
    <w:rsid w:val="004F4FC0"/>
    <w:rsid w:val="00517D45"/>
    <w:rsid w:val="005234B5"/>
    <w:rsid w:val="00526F5F"/>
    <w:rsid w:val="00543504"/>
    <w:rsid w:val="00544B01"/>
    <w:rsid w:val="00545555"/>
    <w:rsid w:val="0056710A"/>
    <w:rsid w:val="00593ED0"/>
    <w:rsid w:val="005A42AF"/>
    <w:rsid w:val="00645BFF"/>
    <w:rsid w:val="00651B5D"/>
    <w:rsid w:val="00676FF4"/>
    <w:rsid w:val="00690AE3"/>
    <w:rsid w:val="006B2EA5"/>
    <w:rsid w:val="006C2B0B"/>
    <w:rsid w:val="006C5EF5"/>
    <w:rsid w:val="006D25C6"/>
    <w:rsid w:val="006D649C"/>
    <w:rsid w:val="00722AF2"/>
    <w:rsid w:val="007372BA"/>
    <w:rsid w:val="00757D26"/>
    <w:rsid w:val="00765A75"/>
    <w:rsid w:val="007A70CE"/>
    <w:rsid w:val="007D1720"/>
    <w:rsid w:val="0080322C"/>
    <w:rsid w:val="00815773"/>
    <w:rsid w:val="00830363"/>
    <w:rsid w:val="008518FF"/>
    <w:rsid w:val="008852CC"/>
    <w:rsid w:val="0088669B"/>
    <w:rsid w:val="008A12C7"/>
    <w:rsid w:val="008A6EDA"/>
    <w:rsid w:val="008B23B5"/>
    <w:rsid w:val="008C5A16"/>
    <w:rsid w:val="00910970"/>
    <w:rsid w:val="00924CD7"/>
    <w:rsid w:val="00930FED"/>
    <w:rsid w:val="0094753D"/>
    <w:rsid w:val="00985628"/>
    <w:rsid w:val="009A7BA9"/>
    <w:rsid w:val="009B68B2"/>
    <w:rsid w:val="009D56CC"/>
    <w:rsid w:val="009E2942"/>
    <w:rsid w:val="00A02CDF"/>
    <w:rsid w:val="00A072AA"/>
    <w:rsid w:val="00A844A0"/>
    <w:rsid w:val="00AC216A"/>
    <w:rsid w:val="00B175E6"/>
    <w:rsid w:val="00B21530"/>
    <w:rsid w:val="00B2585C"/>
    <w:rsid w:val="00B6498D"/>
    <w:rsid w:val="00B64D2C"/>
    <w:rsid w:val="00B87E88"/>
    <w:rsid w:val="00BB2373"/>
    <w:rsid w:val="00BC4ED8"/>
    <w:rsid w:val="00BD22F1"/>
    <w:rsid w:val="00C252CE"/>
    <w:rsid w:val="00C438C1"/>
    <w:rsid w:val="00C54167"/>
    <w:rsid w:val="00CA6BA8"/>
    <w:rsid w:val="00CB41B4"/>
    <w:rsid w:val="00CF5BA1"/>
    <w:rsid w:val="00D061D9"/>
    <w:rsid w:val="00D12A6A"/>
    <w:rsid w:val="00DA4F04"/>
    <w:rsid w:val="00DE11B1"/>
    <w:rsid w:val="00E70955"/>
    <w:rsid w:val="00E93CD7"/>
    <w:rsid w:val="00EA3884"/>
    <w:rsid w:val="00EE6D0A"/>
    <w:rsid w:val="00F070CB"/>
    <w:rsid w:val="00F4728A"/>
    <w:rsid w:val="00F90E75"/>
    <w:rsid w:val="00FB3238"/>
    <w:rsid w:val="00FB35DC"/>
    <w:rsid w:val="00FC0AC4"/>
    <w:rsid w:val="00FC42E2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2F1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BD22F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D22F1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BD22F1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styleId="PageNumber">
    <w:name w:val="page number"/>
    <w:uiPriority w:val="99"/>
    <w:semiHidden/>
    <w:unhideWhenUsed/>
    <w:rsid w:val="00BD22F1"/>
  </w:style>
  <w:style w:type="paragraph" w:styleId="ListParagraph">
    <w:name w:val="List Paragraph"/>
    <w:basedOn w:val="Normal"/>
    <w:uiPriority w:val="34"/>
    <w:qFormat/>
    <w:rsid w:val="0056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2F1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BD22F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D22F1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BD22F1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styleId="PageNumber">
    <w:name w:val="page number"/>
    <w:uiPriority w:val="99"/>
    <w:semiHidden/>
    <w:unhideWhenUsed/>
    <w:rsid w:val="00BD22F1"/>
  </w:style>
  <w:style w:type="paragraph" w:styleId="ListParagraph">
    <w:name w:val="List Paragraph"/>
    <w:basedOn w:val="Normal"/>
    <w:uiPriority w:val="34"/>
    <w:qFormat/>
    <w:rsid w:val="0056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AC27-858A-4807-98BD-0E9623BD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2013-09-16T12:39:00Z</cp:lastPrinted>
  <dcterms:created xsi:type="dcterms:W3CDTF">2013-12-19T13:33:00Z</dcterms:created>
  <dcterms:modified xsi:type="dcterms:W3CDTF">2013-12-19T13:33:00Z</dcterms:modified>
</cp:coreProperties>
</file>